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E867E7" w14:textId="77777777" w:rsidR="00BE71BA" w:rsidRPr="003E4449" w:rsidRDefault="008B4844" w:rsidP="00BE71BA">
      <w:pPr>
        <w:pStyle w:val="berschrift1"/>
        <w:rPr>
          <w:rFonts w:cs="Arial"/>
        </w:rPr>
      </w:pPr>
      <w:r>
        <w:t>Soluciones</w:t>
      </w:r>
      <w:r>
        <w:br/>
        <w:t>Modelo 2 de los sistemas de transmisión - Pesacartas (palanca)</w:t>
      </w:r>
    </w:p>
    <w:p w14:paraId="4AE6BDBE" w14:textId="77777777" w:rsidR="002067FB" w:rsidRPr="003E4449" w:rsidRDefault="005A19AC" w:rsidP="00E8187C">
      <w:pPr>
        <w:pStyle w:val="Abstract"/>
        <w:rPr>
          <w:rFonts w:ascii="Arial" w:hAnsi="Arial" w:cs="Arial"/>
        </w:rPr>
      </w:pPr>
      <w:r>
        <w:rPr>
          <w:rFonts w:ascii="Arial" w:hAnsi="Arial"/>
        </w:rPr>
        <w:t>Para cada tarea se proporciona al alumnado un manual de instrucciones (véase anexo) destinado a ayudar en la construcción y la resolución de las tareas. En aquellas tareas en las que es de utilidad, será indicado al inicio de la respectiva hoja de soluciones.</w:t>
      </w:r>
    </w:p>
    <w:p w14:paraId="1109FE0A" w14:textId="77777777" w:rsidR="00603326" w:rsidRDefault="00603326" w:rsidP="00CF5744">
      <w:pPr>
        <w:rPr>
          <w:rFonts w:ascii="Arial" w:hAnsi="Arial" w:cs="Arial"/>
        </w:rPr>
      </w:pPr>
      <w:r>
        <w:rPr>
          <w:rFonts w:ascii="Arial" w:hAnsi="Arial"/>
          <w:i/>
          <w:iCs/>
        </w:rPr>
        <w:t>Referencia histórica</w:t>
      </w:r>
      <w:r>
        <w:rPr>
          <w:rFonts w:ascii="Arial" w:hAnsi="Arial"/>
        </w:rPr>
        <w:t xml:space="preserve">: El pesacartas (o también balanza de péndulo) es una invención de </w:t>
      </w:r>
      <w:r>
        <w:rPr>
          <w:rFonts w:ascii="Arial" w:hAnsi="Arial"/>
          <w:i/>
          <w:iCs/>
        </w:rPr>
        <w:t>Philipp Matthäus Hahn</w:t>
      </w:r>
      <w:r>
        <w:rPr>
          <w:rFonts w:ascii="Arial" w:hAnsi="Arial"/>
        </w:rPr>
        <w:t xml:space="preserve"> (1739-1790), quien lo desarrolló entre los años 1764 y 1770. Asimismo, Hahn desarrolló también algunas de las primeras calculadoras mecánicas basadas en principios constructivos de Leibniz para el cálculo de sus relojes e instrumentos astronómicos.</w:t>
      </w:r>
    </w:p>
    <w:p w14:paraId="47637B35" w14:textId="77777777" w:rsidR="001A3217" w:rsidRDefault="001A3217" w:rsidP="001A3217">
      <w:pPr>
        <w:rPr>
          <w:rFonts w:ascii="Arial" w:hAnsi="Arial" w:cs="Arial"/>
          <w:noProof/>
        </w:rPr>
      </w:pPr>
      <w:r>
        <w:rPr>
          <w:rFonts w:ascii="Arial" w:hAnsi="Arial"/>
        </w:rPr>
        <w:t>Se entrega al alumnado una copia de las escalas de medición para recortar.</w:t>
      </w:r>
    </w:p>
    <w:p w14:paraId="4E7A7539" w14:textId="77777777" w:rsidR="00BE71BA" w:rsidRDefault="00BE71BA" w:rsidP="001A3217">
      <w:pPr>
        <w:rPr>
          <w:rFonts w:ascii="Arial" w:hAnsi="Arial" w:cs="Arial"/>
          <w:noProof/>
        </w:rPr>
      </w:pPr>
    </w:p>
    <w:p w14:paraId="4AEFE4CC" w14:textId="77777777" w:rsidR="00C1655E" w:rsidRPr="003E4449" w:rsidRDefault="00C1655E" w:rsidP="00C1655E">
      <w:pPr>
        <w:pStyle w:val="berschrift2"/>
        <w:rPr>
          <w:rFonts w:cs="Arial"/>
        </w:rPr>
      </w:pPr>
      <w:r>
        <w:t>Pregunta temática</w:t>
      </w:r>
    </w:p>
    <w:p w14:paraId="70293ED2" w14:textId="77777777" w:rsidR="00445D20" w:rsidRDefault="00445D20" w:rsidP="0015532B">
      <w:pPr>
        <w:rPr>
          <w:rFonts w:ascii="Arial" w:hAnsi="Arial" w:cs="Arial"/>
          <w:noProof/>
        </w:rPr>
      </w:pPr>
      <w:r>
        <w:rPr>
          <w:rFonts w:ascii="Arial" w:hAnsi="Arial"/>
        </w:rPr>
        <w:t xml:space="preserve">El pesacartas se puede calibrar también con cualquier «peso unitario». Las marcas en la escala deben estar distribuidas en líneas parciales seleccionadas de forma apropiada: hacia la izquierda (con un mayor desplazamiento del indicador), las líneas deben tener una distancia cada vez menor. </w:t>
      </w:r>
    </w:p>
    <w:p w14:paraId="795C00E3" w14:textId="77777777" w:rsidR="00DB68D5" w:rsidRDefault="00DB68D5" w:rsidP="00445D20">
      <w:pPr>
        <w:rPr>
          <w:rFonts w:ascii="Arial" w:hAnsi="Arial" w:cs="Arial"/>
          <w:noProof/>
        </w:rPr>
      </w:pPr>
      <w:r>
        <w:rPr>
          <w:rFonts w:ascii="Arial" w:hAnsi="Arial"/>
        </w:rPr>
        <w:t>El peso máximo que puede determinarse con esta balanza es de poco más de 25 g.</w:t>
      </w:r>
    </w:p>
    <w:p w14:paraId="599AF561" w14:textId="77777777" w:rsidR="00BE71BA" w:rsidRDefault="00BE71BA" w:rsidP="00445D20">
      <w:pPr>
        <w:rPr>
          <w:rFonts w:ascii="Arial" w:hAnsi="Arial" w:cs="Arial"/>
          <w:noProof/>
        </w:rPr>
      </w:pPr>
    </w:p>
    <w:p w14:paraId="28C48041" w14:textId="77777777" w:rsidR="00C1655E" w:rsidRPr="003E4449" w:rsidRDefault="00C1655E" w:rsidP="00C1655E">
      <w:pPr>
        <w:pStyle w:val="berschrift2"/>
        <w:rPr>
          <w:rFonts w:cs="Arial"/>
        </w:rPr>
      </w:pPr>
      <w:r>
        <w:t>Tarea experimental</w:t>
      </w:r>
    </w:p>
    <w:p w14:paraId="1578F450" w14:textId="77777777" w:rsidR="00DB68D5" w:rsidRDefault="00DB68D5" w:rsidP="00DB68D5">
      <w:pPr>
        <w:rPr>
          <w:rFonts w:ascii="Arial" w:hAnsi="Arial" w:cs="Arial"/>
        </w:rPr>
      </w:pPr>
      <w:r>
        <w:rPr>
          <w:rFonts w:ascii="Arial" w:hAnsi="Arial"/>
        </w:rPr>
        <w:t xml:space="preserve">1. El rango de medición puede ampliarse al aumentar el peso del brazo indicador de la balanza. Esto mismo puede hacerse prolongando el indicador. </w:t>
      </w:r>
    </w:p>
    <w:p w14:paraId="5C416B77" w14:textId="77777777" w:rsidR="00C1655E" w:rsidRDefault="00DB68D5" w:rsidP="00445D20">
      <w:pPr>
        <w:rPr>
          <w:rFonts w:ascii="Arial" w:hAnsi="Arial" w:cs="Arial"/>
        </w:rPr>
      </w:pPr>
      <w:r>
        <w:rPr>
          <w:rFonts w:ascii="Arial" w:hAnsi="Arial"/>
        </w:rPr>
        <w:t>2. Para una mayor precisión de la balanza, también se debe ampliar la palanca derecha, por ejemplo, al aumentar la distancia entre ambos ejes de giro y las articulaciones mediante componentes, o a través de una reducción del peso del brazo indicador de la balanza, por ejemplo, al sustituir los componentes 30 por piezas estáticas. Sin embargo, de este modo, se achica el rango de medición.</w:t>
      </w:r>
    </w:p>
    <w:p w14:paraId="54C49C3B" w14:textId="77777777" w:rsidR="00DB68D5" w:rsidRDefault="00DB68D5" w:rsidP="00DB68D5">
      <w:pPr>
        <w:rPr>
          <w:rFonts w:ascii="Arial" w:hAnsi="Arial" w:cs="Arial"/>
        </w:rPr>
      </w:pPr>
      <w:r>
        <w:rPr>
          <w:rFonts w:ascii="Arial" w:hAnsi="Arial"/>
        </w:rPr>
        <w:t>3. Las distancias de las marcas de diferencias de peso idénticas disminuyen porque el brazo indicador realiza un movimiento circular. La proporción del movimiento del indicador que se desarrolla lateralmente (y necesita poca fuerza) disminuye, mientras que la proporción del movimiento que levanta el indicador aumenta. Por eso, el ángulo de desplazamiento no crece de manera lineal.</w:t>
      </w:r>
    </w:p>
    <w:p w14:paraId="15AA61C5" w14:textId="77777777" w:rsidR="00DB68D5" w:rsidRPr="003E4449" w:rsidRDefault="00DB68D5" w:rsidP="00DB68D5">
      <w:pPr>
        <w:rPr>
          <w:rFonts w:ascii="Arial" w:hAnsi="Arial" w:cs="Arial"/>
        </w:rPr>
      </w:pPr>
      <w:r>
        <w:rPr>
          <w:rFonts w:ascii="Arial" w:hAnsi="Arial"/>
        </w:rPr>
        <w:t>El cambio puede calcularse a través del par de giro: los pares de giro de ambos lados son siempre iguales cuando la balanza está detenida.</w:t>
      </w:r>
    </w:p>
    <w:p w14:paraId="44759058" w14:textId="77777777" w:rsidR="00F425A5" w:rsidRPr="003E4449" w:rsidRDefault="00F425A5">
      <w:pPr>
        <w:spacing w:after="0"/>
        <w:jc w:val="left"/>
        <w:rPr>
          <w:rFonts w:ascii="Arial" w:hAnsi="Arial" w:cs="Arial"/>
          <w:bCs/>
          <w:sz w:val="32"/>
          <w:szCs w:val="16"/>
        </w:rPr>
      </w:pPr>
      <w:r>
        <w:br w:type="page"/>
      </w:r>
    </w:p>
    <w:p w14:paraId="6D2F4846" w14:textId="77777777" w:rsidR="005A19AC" w:rsidRDefault="005A19AC" w:rsidP="005A19AC">
      <w:pPr>
        <w:pStyle w:val="Titel"/>
      </w:pPr>
      <w:r>
        <w:lastRenderedPageBreak/>
        <w:t>Anexos</w:t>
      </w:r>
    </w:p>
    <w:p w14:paraId="49F48A22" w14:textId="25FE8BBC" w:rsidR="005A19AC" w:rsidRDefault="005A19AC" w:rsidP="00776219">
      <w:pPr>
        <w:pStyle w:val="berschrift2"/>
      </w:pPr>
      <w:r>
        <w:t>Manuales de instrucciones y plantillas para los sistemas de transmisión y modelos:</w:t>
      </w:r>
    </w:p>
    <w:p w14:paraId="456418FC" w14:textId="3E06159D" w:rsidR="00776219" w:rsidRDefault="00BE71BA" w:rsidP="00384D30">
      <w:pPr>
        <w:jc w:val="left"/>
        <w:rPr>
          <w:rFonts w:ascii="Arial" w:hAnsi="Arial" w:cs="Arial"/>
        </w:rPr>
      </w:pPr>
      <w:r>
        <w:rPr>
          <w:rFonts w:ascii="Arial" w:hAnsi="Arial"/>
        </w:rPr>
        <w:t>Modelo 2: manual de instrucciones del pesacartas, hoja con escalas vacías para recortar.</w:t>
      </w:r>
    </w:p>
    <w:sectPr w:rsidR="00776219" w:rsidSect="00E96821">
      <w:headerReference w:type="even" r:id="rId10"/>
      <w:headerReference w:type="default" r:id="rId11"/>
      <w:footerReference w:type="even" r:id="rId12"/>
      <w:footerReference w:type="default" r:id="rId13"/>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B55C61" w14:textId="77777777" w:rsidR="00D16BFA" w:rsidRDefault="00D16BFA">
      <w:r>
        <w:separator/>
      </w:r>
    </w:p>
  </w:endnote>
  <w:endnote w:type="continuationSeparator" w:id="0">
    <w:p w14:paraId="22CC2F82" w14:textId="77777777" w:rsidR="00D16BFA" w:rsidRDefault="00D16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1E0FFA" w14:textId="77777777" w:rsidR="00CB4B96" w:rsidRDefault="00CB4B96">
    <w:pPr>
      <w:pStyle w:val="Fuzeile"/>
    </w:pPr>
    <w:r>
      <w:fldChar w:fldCharType="begin"/>
    </w:r>
    <w:r>
      <w:instrText>PAGE   \* MERGEFORMAT</w:instrText>
    </w:r>
    <w:r>
      <w:fldChar w:fldCharType="separate"/>
    </w:r>
    <w:r w:rsidR="00123AA0">
      <w:t>1</w:t>
    </w:r>
    <w:r w:rsidR="00123AA0">
      <w:t>7</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D2EE72" w14:textId="77777777" w:rsidR="00CB4B96" w:rsidRDefault="00CB4B96">
    <w:pPr>
      <w:pStyle w:val="Fuzeile"/>
    </w:pPr>
    <w:r>
      <w:tab/>
    </w:r>
    <w:r>
      <w:tab/>
    </w:r>
    <w:r>
      <w:fldChar w:fldCharType="begin"/>
    </w:r>
    <w:r>
      <w:instrText>PAGE   \* MERGEFORMAT</w:instrText>
    </w:r>
    <w:r>
      <w:fldChar w:fldCharType="separate"/>
    </w:r>
    <w:r w:rsidR="00F75A53">
      <w:t>1</w:t>
    </w:r>
    <w:r w:rsidR="00F75A53">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1F6533" w14:textId="77777777" w:rsidR="00D16BFA" w:rsidRDefault="00D16BFA">
      <w:r>
        <w:separator/>
      </w:r>
    </w:p>
  </w:footnote>
  <w:footnote w:type="continuationSeparator" w:id="0">
    <w:p w14:paraId="245EF589" w14:textId="77777777" w:rsidR="00D16BFA" w:rsidRDefault="00D16B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C76707" w14:textId="77777777" w:rsidR="00CB4B96" w:rsidRDefault="00CB4B96" w:rsidP="00E96821">
    <w:pPr>
      <w:pStyle w:val="Kopfzeile"/>
    </w:pPr>
    <w:r>
      <w:rPr>
        <w:szCs w:val="24"/>
        <w:highlight w:val="yellow"/>
      </w:rPr>
      <w:t>EJE TEMÁTICO</w:t>
    </w:r>
    <w:r>
      <w:t xml:space="preserve"> </w:t>
    </w:r>
    <w:r>
      <w:tab/>
    </w:r>
    <w:r>
      <w:tab/>
    </w:r>
    <w:r>
      <w:rPr>
        <w:noProof/>
      </w:rPr>
      <w:drawing>
        <wp:inline distT="0" distB="0" distL="0" distR="0" wp14:anchorId="0C1C24B3" wp14:editId="2EB898EE">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6E72EC" w14:textId="14B48997" w:rsidR="00FE15C5" w:rsidRDefault="00FE15C5" w:rsidP="00741A07">
    <w:pPr>
      <w:pStyle w:val="Kopfzeile"/>
    </w:pPr>
    <w:r>
      <w:rPr>
        <w:noProof/>
      </w:rPr>
      <w:drawing>
        <wp:anchor distT="0" distB="0" distL="114300" distR="114300" simplePos="0" relativeHeight="251659264" behindDoc="1" locked="0" layoutInCell="1" allowOverlap="1" wp14:anchorId="178D73DD" wp14:editId="6DC1DEA8">
          <wp:simplePos x="0" y="0"/>
          <wp:positionH relativeFrom="column">
            <wp:posOffset>5430520</wp:posOffset>
          </wp:positionH>
          <wp:positionV relativeFrom="paragraph">
            <wp:posOffset>101888</wp:posOffset>
          </wp:positionV>
          <wp:extent cx="687705" cy="687705"/>
          <wp:effectExtent l="0" t="0" r="0" b="0"/>
          <wp:wrapTight wrapText="bothSides">
            <wp:wrapPolygon edited="0">
              <wp:start x="0" y="0"/>
              <wp:lineTo x="0" y="20942"/>
              <wp:lineTo x="20942" y="20942"/>
              <wp:lineTo x="20942" y="0"/>
              <wp:lineTo x="0" y="0"/>
            </wp:wrapPolygon>
          </wp:wrapTight>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87705" cy="687705"/>
                  </a:xfrm>
                  <a:prstGeom prst="rect">
                    <a:avLst/>
                  </a:prstGeom>
                </pic:spPr>
              </pic:pic>
            </a:graphicData>
          </a:graphic>
        </wp:anchor>
      </w:drawing>
    </w:r>
    <w:r>
      <w:rPr>
        <w:noProof/>
      </w:rPr>
      <w:drawing>
        <wp:anchor distT="0" distB="0" distL="114300" distR="114300" simplePos="0" relativeHeight="251658240" behindDoc="0" locked="0" layoutInCell="1" allowOverlap="1" wp14:anchorId="7ACFBB3F" wp14:editId="66168F93">
          <wp:simplePos x="0" y="0"/>
          <wp:positionH relativeFrom="margin">
            <wp:align>center</wp:align>
          </wp:positionH>
          <wp:positionV relativeFrom="paragraph">
            <wp:posOffset>105697</wp:posOffset>
          </wp:positionV>
          <wp:extent cx="2880000" cy="258896"/>
          <wp:effectExtent l="0" t="0" r="0" b="825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80000" cy="258896"/>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AA4A5BC" w14:textId="3E4914EC" w:rsidR="00CB4B96" w:rsidRDefault="00CB4B96" w:rsidP="00741A07">
    <w:pPr>
      <w:pStyle w:val="Kopfzeile"/>
    </w:pPr>
    <w:r>
      <w:t>Sistemas de transmisión – Material didáctico para la ESO y el bachillerato</w:t>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404EF3"/>
    <w:multiLevelType w:val="hybridMultilevel"/>
    <w:tmpl w:val="CFAC9A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1FCC11BC"/>
    <w:multiLevelType w:val="hybridMultilevel"/>
    <w:tmpl w:val="C8D6372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F026370"/>
    <w:multiLevelType w:val="hybridMultilevel"/>
    <w:tmpl w:val="E9D2BFF4"/>
    <w:lvl w:ilvl="0" w:tplc="C486F3A6">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4"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3"/>
  </w:num>
  <w:num w:numId="12">
    <w:abstractNumId w:val="27"/>
  </w:num>
  <w:num w:numId="13">
    <w:abstractNumId w:val="12"/>
  </w:num>
  <w:num w:numId="14">
    <w:abstractNumId w:val="30"/>
  </w:num>
  <w:num w:numId="15">
    <w:abstractNumId w:val="16"/>
  </w:num>
  <w:num w:numId="16">
    <w:abstractNumId w:val="14"/>
  </w:num>
  <w:num w:numId="17">
    <w:abstractNumId w:val="15"/>
  </w:num>
  <w:num w:numId="18">
    <w:abstractNumId w:val="17"/>
  </w:num>
  <w:num w:numId="19">
    <w:abstractNumId w:val="29"/>
  </w:num>
  <w:num w:numId="20">
    <w:abstractNumId w:val="26"/>
  </w:num>
  <w:num w:numId="21">
    <w:abstractNumId w:val="25"/>
  </w:num>
  <w:num w:numId="22">
    <w:abstractNumId w:val="19"/>
  </w:num>
  <w:num w:numId="23">
    <w:abstractNumId w:val="21"/>
  </w:num>
  <w:num w:numId="24">
    <w:abstractNumId w:val="20"/>
  </w:num>
  <w:num w:numId="25">
    <w:abstractNumId w:val="24"/>
  </w:num>
  <w:num w:numId="26">
    <w:abstractNumId w:val="28"/>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1"/>
  </w:num>
  <w:num w:numId="38">
    <w:abstractNumId w:val="18"/>
  </w:num>
  <w:num w:numId="39">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de-DE" w:vendorID="9" w:dllVersion="512" w:checkStyle="1"/>
  <w:proofState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676"/>
    <w:rsid w:val="0001364C"/>
    <w:rsid w:val="00015DCF"/>
    <w:rsid w:val="000173AE"/>
    <w:rsid w:val="00022F11"/>
    <w:rsid w:val="0002512F"/>
    <w:rsid w:val="0003721F"/>
    <w:rsid w:val="0004739D"/>
    <w:rsid w:val="00047CC3"/>
    <w:rsid w:val="00051787"/>
    <w:rsid w:val="0005193D"/>
    <w:rsid w:val="000645D9"/>
    <w:rsid w:val="000656BD"/>
    <w:rsid w:val="000722C8"/>
    <w:rsid w:val="00073211"/>
    <w:rsid w:val="00076368"/>
    <w:rsid w:val="000764B6"/>
    <w:rsid w:val="000768BA"/>
    <w:rsid w:val="000800CF"/>
    <w:rsid w:val="00083EE8"/>
    <w:rsid w:val="000A14B0"/>
    <w:rsid w:val="000A58E5"/>
    <w:rsid w:val="000B0025"/>
    <w:rsid w:val="000B3FBA"/>
    <w:rsid w:val="000C0C66"/>
    <w:rsid w:val="000D0BC4"/>
    <w:rsid w:val="000D3717"/>
    <w:rsid w:val="000D44BE"/>
    <w:rsid w:val="000D601F"/>
    <w:rsid w:val="000D7297"/>
    <w:rsid w:val="000E3792"/>
    <w:rsid w:val="000F05B0"/>
    <w:rsid w:val="000F116C"/>
    <w:rsid w:val="000F7641"/>
    <w:rsid w:val="000F7CFD"/>
    <w:rsid w:val="001064D3"/>
    <w:rsid w:val="00111235"/>
    <w:rsid w:val="00115EF8"/>
    <w:rsid w:val="00115F2E"/>
    <w:rsid w:val="00121DBD"/>
    <w:rsid w:val="00123AA0"/>
    <w:rsid w:val="0012561E"/>
    <w:rsid w:val="001278F5"/>
    <w:rsid w:val="001320DD"/>
    <w:rsid w:val="00150FB2"/>
    <w:rsid w:val="00151176"/>
    <w:rsid w:val="0015532B"/>
    <w:rsid w:val="00165F39"/>
    <w:rsid w:val="0017296D"/>
    <w:rsid w:val="00190988"/>
    <w:rsid w:val="0019251C"/>
    <w:rsid w:val="001A3217"/>
    <w:rsid w:val="001A449E"/>
    <w:rsid w:val="001A684F"/>
    <w:rsid w:val="001A7224"/>
    <w:rsid w:val="001B325C"/>
    <w:rsid w:val="001B764B"/>
    <w:rsid w:val="001C4D71"/>
    <w:rsid w:val="001D1C2A"/>
    <w:rsid w:val="001D5676"/>
    <w:rsid w:val="001D69C8"/>
    <w:rsid w:val="001E6344"/>
    <w:rsid w:val="001E6448"/>
    <w:rsid w:val="001E67A0"/>
    <w:rsid w:val="001F17D2"/>
    <w:rsid w:val="001F4F66"/>
    <w:rsid w:val="001F769C"/>
    <w:rsid w:val="00201122"/>
    <w:rsid w:val="00204678"/>
    <w:rsid w:val="002046AD"/>
    <w:rsid w:val="00205E7E"/>
    <w:rsid w:val="002067FB"/>
    <w:rsid w:val="00217A7E"/>
    <w:rsid w:val="002323C1"/>
    <w:rsid w:val="00241577"/>
    <w:rsid w:val="002469FB"/>
    <w:rsid w:val="00247250"/>
    <w:rsid w:val="00251174"/>
    <w:rsid w:val="0026611F"/>
    <w:rsid w:val="0026624F"/>
    <w:rsid w:val="00271A2E"/>
    <w:rsid w:val="00280D4B"/>
    <w:rsid w:val="00281DF0"/>
    <w:rsid w:val="00282294"/>
    <w:rsid w:val="0028590F"/>
    <w:rsid w:val="002A22E6"/>
    <w:rsid w:val="002A5084"/>
    <w:rsid w:val="002A69BD"/>
    <w:rsid w:val="002A7206"/>
    <w:rsid w:val="002D3AB9"/>
    <w:rsid w:val="002D3EE9"/>
    <w:rsid w:val="002D6E31"/>
    <w:rsid w:val="002D7D09"/>
    <w:rsid w:val="002E1AAA"/>
    <w:rsid w:val="002E78C1"/>
    <w:rsid w:val="002F099E"/>
    <w:rsid w:val="003024E6"/>
    <w:rsid w:val="00302C0E"/>
    <w:rsid w:val="003100A9"/>
    <w:rsid w:val="00311190"/>
    <w:rsid w:val="00323B3E"/>
    <w:rsid w:val="00323D2C"/>
    <w:rsid w:val="003276DE"/>
    <w:rsid w:val="00330228"/>
    <w:rsid w:val="00337E27"/>
    <w:rsid w:val="003409A2"/>
    <w:rsid w:val="00341FA6"/>
    <w:rsid w:val="00342916"/>
    <w:rsid w:val="0035076B"/>
    <w:rsid w:val="0035785D"/>
    <w:rsid w:val="003612D5"/>
    <w:rsid w:val="0036332F"/>
    <w:rsid w:val="00363EE2"/>
    <w:rsid w:val="003771CC"/>
    <w:rsid w:val="00383D6D"/>
    <w:rsid w:val="00384D30"/>
    <w:rsid w:val="00384F22"/>
    <w:rsid w:val="003859EA"/>
    <w:rsid w:val="00385F80"/>
    <w:rsid w:val="003935B8"/>
    <w:rsid w:val="003A6C45"/>
    <w:rsid w:val="003A705F"/>
    <w:rsid w:val="003B0332"/>
    <w:rsid w:val="003B5217"/>
    <w:rsid w:val="003C1EF0"/>
    <w:rsid w:val="003C382C"/>
    <w:rsid w:val="003D0688"/>
    <w:rsid w:val="003D5BEC"/>
    <w:rsid w:val="003E4449"/>
    <w:rsid w:val="003F4669"/>
    <w:rsid w:val="003F4A96"/>
    <w:rsid w:val="003F5601"/>
    <w:rsid w:val="004012C1"/>
    <w:rsid w:val="004135B5"/>
    <w:rsid w:val="00413E03"/>
    <w:rsid w:val="004218BA"/>
    <w:rsid w:val="004306E6"/>
    <w:rsid w:val="00434525"/>
    <w:rsid w:val="00435EA1"/>
    <w:rsid w:val="00437560"/>
    <w:rsid w:val="004377CB"/>
    <w:rsid w:val="00445D20"/>
    <w:rsid w:val="00454AAA"/>
    <w:rsid w:val="00455455"/>
    <w:rsid w:val="00472E75"/>
    <w:rsid w:val="00476D4B"/>
    <w:rsid w:val="00482CE6"/>
    <w:rsid w:val="004977B8"/>
    <w:rsid w:val="004B6EAA"/>
    <w:rsid w:val="004B754D"/>
    <w:rsid w:val="004B7983"/>
    <w:rsid w:val="004C138F"/>
    <w:rsid w:val="004C5167"/>
    <w:rsid w:val="004D2ABB"/>
    <w:rsid w:val="004D2E5B"/>
    <w:rsid w:val="004D3927"/>
    <w:rsid w:val="004D5672"/>
    <w:rsid w:val="004D713B"/>
    <w:rsid w:val="004F6D89"/>
    <w:rsid w:val="004F7A0B"/>
    <w:rsid w:val="005048F7"/>
    <w:rsid w:val="005101A0"/>
    <w:rsid w:val="00512CBB"/>
    <w:rsid w:val="00514710"/>
    <w:rsid w:val="00516912"/>
    <w:rsid w:val="0051706D"/>
    <w:rsid w:val="005312E0"/>
    <w:rsid w:val="00540A33"/>
    <w:rsid w:val="0054320A"/>
    <w:rsid w:val="00543BE7"/>
    <w:rsid w:val="005450E2"/>
    <w:rsid w:val="00573ACB"/>
    <w:rsid w:val="00576668"/>
    <w:rsid w:val="005771A4"/>
    <w:rsid w:val="00591572"/>
    <w:rsid w:val="005940DF"/>
    <w:rsid w:val="00595245"/>
    <w:rsid w:val="005974E8"/>
    <w:rsid w:val="005A19AC"/>
    <w:rsid w:val="005A49AD"/>
    <w:rsid w:val="005C3C3E"/>
    <w:rsid w:val="005C6BE9"/>
    <w:rsid w:val="005D2CD9"/>
    <w:rsid w:val="005E57C1"/>
    <w:rsid w:val="005F6FD5"/>
    <w:rsid w:val="005F7EED"/>
    <w:rsid w:val="00603326"/>
    <w:rsid w:val="006158A5"/>
    <w:rsid w:val="00617BB0"/>
    <w:rsid w:val="00626653"/>
    <w:rsid w:val="00626CB7"/>
    <w:rsid w:val="00631B87"/>
    <w:rsid w:val="00632C08"/>
    <w:rsid w:val="00633EF6"/>
    <w:rsid w:val="00643E62"/>
    <w:rsid w:val="006501CF"/>
    <w:rsid w:val="00654AAA"/>
    <w:rsid w:val="00660776"/>
    <w:rsid w:val="006618BE"/>
    <w:rsid w:val="006705D1"/>
    <w:rsid w:val="00671C11"/>
    <w:rsid w:val="006735F3"/>
    <w:rsid w:val="006B181A"/>
    <w:rsid w:val="006B2928"/>
    <w:rsid w:val="006B4FFF"/>
    <w:rsid w:val="006B5425"/>
    <w:rsid w:val="006C14DA"/>
    <w:rsid w:val="006C54DD"/>
    <w:rsid w:val="006E3468"/>
    <w:rsid w:val="006E5040"/>
    <w:rsid w:val="006E72F4"/>
    <w:rsid w:val="006F1E9C"/>
    <w:rsid w:val="00706578"/>
    <w:rsid w:val="00712BE5"/>
    <w:rsid w:val="00713BC0"/>
    <w:rsid w:val="00716839"/>
    <w:rsid w:val="00717895"/>
    <w:rsid w:val="0072668E"/>
    <w:rsid w:val="00732023"/>
    <w:rsid w:val="00736362"/>
    <w:rsid w:val="0074111A"/>
    <w:rsid w:val="00741A07"/>
    <w:rsid w:val="00746124"/>
    <w:rsid w:val="00747754"/>
    <w:rsid w:val="007622A5"/>
    <w:rsid w:val="0076770E"/>
    <w:rsid w:val="00770353"/>
    <w:rsid w:val="00775F77"/>
    <w:rsid w:val="00776219"/>
    <w:rsid w:val="00781597"/>
    <w:rsid w:val="00782ED3"/>
    <w:rsid w:val="007852C6"/>
    <w:rsid w:val="00787F52"/>
    <w:rsid w:val="00792E95"/>
    <w:rsid w:val="007A2EA9"/>
    <w:rsid w:val="007A7500"/>
    <w:rsid w:val="007B2084"/>
    <w:rsid w:val="007B2DB2"/>
    <w:rsid w:val="007B3659"/>
    <w:rsid w:val="007B6235"/>
    <w:rsid w:val="007C178A"/>
    <w:rsid w:val="007C282A"/>
    <w:rsid w:val="007E05F7"/>
    <w:rsid w:val="007F2B52"/>
    <w:rsid w:val="00805C2F"/>
    <w:rsid w:val="00811A4D"/>
    <w:rsid w:val="00817D41"/>
    <w:rsid w:val="00820994"/>
    <w:rsid w:val="008231F0"/>
    <w:rsid w:val="008333A8"/>
    <w:rsid w:val="00835C38"/>
    <w:rsid w:val="00837131"/>
    <w:rsid w:val="00842A30"/>
    <w:rsid w:val="00844E03"/>
    <w:rsid w:val="00845F6A"/>
    <w:rsid w:val="00851230"/>
    <w:rsid w:val="00851BA1"/>
    <w:rsid w:val="00852E19"/>
    <w:rsid w:val="00853009"/>
    <w:rsid w:val="008608D1"/>
    <w:rsid w:val="00861374"/>
    <w:rsid w:val="00864063"/>
    <w:rsid w:val="00871348"/>
    <w:rsid w:val="00891F1C"/>
    <w:rsid w:val="00893D00"/>
    <w:rsid w:val="008963B8"/>
    <w:rsid w:val="008A620F"/>
    <w:rsid w:val="008B4844"/>
    <w:rsid w:val="008B4946"/>
    <w:rsid w:val="008B63FA"/>
    <w:rsid w:val="008C3CAB"/>
    <w:rsid w:val="008D1662"/>
    <w:rsid w:val="008D44FE"/>
    <w:rsid w:val="008D6712"/>
    <w:rsid w:val="008E2C4A"/>
    <w:rsid w:val="008E43BD"/>
    <w:rsid w:val="008E4B77"/>
    <w:rsid w:val="008F3397"/>
    <w:rsid w:val="008F33A0"/>
    <w:rsid w:val="00900EF9"/>
    <w:rsid w:val="00906F27"/>
    <w:rsid w:val="009070DC"/>
    <w:rsid w:val="009203DC"/>
    <w:rsid w:val="00920A3E"/>
    <w:rsid w:val="0092227A"/>
    <w:rsid w:val="0093224F"/>
    <w:rsid w:val="00937B5D"/>
    <w:rsid w:val="00940ED5"/>
    <w:rsid w:val="00945F8D"/>
    <w:rsid w:val="00946EE1"/>
    <w:rsid w:val="00953D33"/>
    <w:rsid w:val="009547CD"/>
    <w:rsid w:val="00965E72"/>
    <w:rsid w:val="00981AA1"/>
    <w:rsid w:val="00981D89"/>
    <w:rsid w:val="0098265E"/>
    <w:rsid w:val="00994BF9"/>
    <w:rsid w:val="009972A6"/>
    <w:rsid w:val="009A25AA"/>
    <w:rsid w:val="009A6161"/>
    <w:rsid w:val="009C354D"/>
    <w:rsid w:val="009C52DC"/>
    <w:rsid w:val="009D4B29"/>
    <w:rsid w:val="009E6D4A"/>
    <w:rsid w:val="009F0679"/>
    <w:rsid w:val="00A00A70"/>
    <w:rsid w:val="00A05207"/>
    <w:rsid w:val="00A15743"/>
    <w:rsid w:val="00A23D81"/>
    <w:rsid w:val="00A304DD"/>
    <w:rsid w:val="00A33BF2"/>
    <w:rsid w:val="00A37375"/>
    <w:rsid w:val="00A5234E"/>
    <w:rsid w:val="00A53FC0"/>
    <w:rsid w:val="00A6360F"/>
    <w:rsid w:val="00A65482"/>
    <w:rsid w:val="00A655F1"/>
    <w:rsid w:val="00A7178B"/>
    <w:rsid w:val="00A77C0C"/>
    <w:rsid w:val="00A8531E"/>
    <w:rsid w:val="00A903D1"/>
    <w:rsid w:val="00A90946"/>
    <w:rsid w:val="00A909C4"/>
    <w:rsid w:val="00AA1A82"/>
    <w:rsid w:val="00AB189E"/>
    <w:rsid w:val="00AC0D20"/>
    <w:rsid w:val="00AC5E5A"/>
    <w:rsid w:val="00AC6B0C"/>
    <w:rsid w:val="00AD2F14"/>
    <w:rsid w:val="00AD33DF"/>
    <w:rsid w:val="00AD5E38"/>
    <w:rsid w:val="00AE06C5"/>
    <w:rsid w:val="00AE0F63"/>
    <w:rsid w:val="00AE1CDD"/>
    <w:rsid w:val="00AE7717"/>
    <w:rsid w:val="00AF1AA7"/>
    <w:rsid w:val="00AF1FD5"/>
    <w:rsid w:val="00AF3FBE"/>
    <w:rsid w:val="00AF649B"/>
    <w:rsid w:val="00B0046A"/>
    <w:rsid w:val="00B07DDD"/>
    <w:rsid w:val="00B101CA"/>
    <w:rsid w:val="00B13727"/>
    <w:rsid w:val="00B22634"/>
    <w:rsid w:val="00B2350A"/>
    <w:rsid w:val="00B344E0"/>
    <w:rsid w:val="00B3559F"/>
    <w:rsid w:val="00B479B8"/>
    <w:rsid w:val="00B47FAB"/>
    <w:rsid w:val="00B501D5"/>
    <w:rsid w:val="00B50EDC"/>
    <w:rsid w:val="00B51A52"/>
    <w:rsid w:val="00B60078"/>
    <w:rsid w:val="00B61D2A"/>
    <w:rsid w:val="00B638A7"/>
    <w:rsid w:val="00B65E65"/>
    <w:rsid w:val="00B76AD1"/>
    <w:rsid w:val="00B820A9"/>
    <w:rsid w:val="00B83A4A"/>
    <w:rsid w:val="00B90F5A"/>
    <w:rsid w:val="00B92265"/>
    <w:rsid w:val="00B93F9E"/>
    <w:rsid w:val="00BB1688"/>
    <w:rsid w:val="00BB320D"/>
    <w:rsid w:val="00BB3A6C"/>
    <w:rsid w:val="00BD239F"/>
    <w:rsid w:val="00BD27A4"/>
    <w:rsid w:val="00BD40EC"/>
    <w:rsid w:val="00BE71BA"/>
    <w:rsid w:val="00BE7656"/>
    <w:rsid w:val="00BF158E"/>
    <w:rsid w:val="00BF2A4C"/>
    <w:rsid w:val="00BF56BF"/>
    <w:rsid w:val="00BF665D"/>
    <w:rsid w:val="00C1655E"/>
    <w:rsid w:val="00C17CA0"/>
    <w:rsid w:val="00C23343"/>
    <w:rsid w:val="00C247E9"/>
    <w:rsid w:val="00C35FA3"/>
    <w:rsid w:val="00C57C03"/>
    <w:rsid w:val="00C638FB"/>
    <w:rsid w:val="00C64AEF"/>
    <w:rsid w:val="00C66F6A"/>
    <w:rsid w:val="00C67E66"/>
    <w:rsid w:val="00C76238"/>
    <w:rsid w:val="00C77468"/>
    <w:rsid w:val="00C82D0D"/>
    <w:rsid w:val="00C85E15"/>
    <w:rsid w:val="00C87168"/>
    <w:rsid w:val="00CA31C2"/>
    <w:rsid w:val="00CA34F3"/>
    <w:rsid w:val="00CB28D8"/>
    <w:rsid w:val="00CB38F5"/>
    <w:rsid w:val="00CB4B96"/>
    <w:rsid w:val="00CB7028"/>
    <w:rsid w:val="00CB7495"/>
    <w:rsid w:val="00CC2E37"/>
    <w:rsid w:val="00CC6326"/>
    <w:rsid w:val="00CC6F83"/>
    <w:rsid w:val="00CC72FA"/>
    <w:rsid w:val="00CD09D4"/>
    <w:rsid w:val="00CD0A93"/>
    <w:rsid w:val="00CD258D"/>
    <w:rsid w:val="00CD5D7E"/>
    <w:rsid w:val="00CD7E42"/>
    <w:rsid w:val="00CE1A3F"/>
    <w:rsid w:val="00CF021F"/>
    <w:rsid w:val="00CF5008"/>
    <w:rsid w:val="00CF5744"/>
    <w:rsid w:val="00CF6149"/>
    <w:rsid w:val="00D116F8"/>
    <w:rsid w:val="00D16BFA"/>
    <w:rsid w:val="00D201D4"/>
    <w:rsid w:val="00D247B8"/>
    <w:rsid w:val="00D461ED"/>
    <w:rsid w:val="00D462A8"/>
    <w:rsid w:val="00D479CF"/>
    <w:rsid w:val="00D6676D"/>
    <w:rsid w:val="00D805C6"/>
    <w:rsid w:val="00D82084"/>
    <w:rsid w:val="00D83D7F"/>
    <w:rsid w:val="00D85B1D"/>
    <w:rsid w:val="00D8647C"/>
    <w:rsid w:val="00D94C19"/>
    <w:rsid w:val="00DA0436"/>
    <w:rsid w:val="00DA5B0E"/>
    <w:rsid w:val="00DB1666"/>
    <w:rsid w:val="00DB68D5"/>
    <w:rsid w:val="00DD3EDD"/>
    <w:rsid w:val="00DD7F0C"/>
    <w:rsid w:val="00DE2CE3"/>
    <w:rsid w:val="00DE6379"/>
    <w:rsid w:val="00DE69CA"/>
    <w:rsid w:val="00DE6E4A"/>
    <w:rsid w:val="00DF11EF"/>
    <w:rsid w:val="00E00F64"/>
    <w:rsid w:val="00E10555"/>
    <w:rsid w:val="00E1381D"/>
    <w:rsid w:val="00E140C9"/>
    <w:rsid w:val="00E1562C"/>
    <w:rsid w:val="00E173E1"/>
    <w:rsid w:val="00E21D5A"/>
    <w:rsid w:val="00E2236C"/>
    <w:rsid w:val="00E24A70"/>
    <w:rsid w:val="00E31328"/>
    <w:rsid w:val="00E43C39"/>
    <w:rsid w:val="00E46DD4"/>
    <w:rsid w:val="00E470C4"/>
    <w:rsid w:val="00E56803"/>
    <w:rsid w:val="00E72F37"/>
    <w:rsid w:val="00E7622D"/>
    <w:rsid w:val="00E8187C"/>
    <w:rsid w:val="00E81DF1"/>
    <w:rsid w:val="00E8260F"/>
    <w:rsid w:val="00E82918"/>
    <w:rsid w:val="00E8709C"/>
    <w:rsid w:val="00E96821"/>
    <w:rsid w:val="00E97C15"/>
    <w:rsid w:val="00EA3AD3"/>
    <w:rsid w:val="00EB0534"/>
    <w:rsid w:val="00EB2ECD"/>
    <w:rsid w:val="00EB5CCE"/>
    <w:rsid w:val="00EC0F53"/>
    <w:rsid w:val="00EC1DCF"/>
    <w:rsid w:val="00ED524D"/>
    <w:rsid w:val="00EE586D"/>
    <w:rsid w:val="00EF323F"/>
    <w:rsid w:val="00EF3363"/>
    <w:rsid w:val="00EF6673"/>
    <w:rsid w:val="00F04C77"/>
    <w:rsid w:val="00F225D5"/>
    <w:rsid w:val="00F3420A"/>
    <w:rsid w:val="00F40987"/>
    <w:rsid w:val="00F40AB1"/>
    <w:rsid w:val="00F425A5"/>
    <w:rsid w:val="00F42642"/>
    <w:rsid w:val="00F44ED9"/>
    <w:rsid w:val="00F4678A"/>
    <w:rsid w:val="00F54C45"/>
    <w:rsid w:val="00F55307"/>
    <w:rsid w:val="00F55FDE"/>
    <w:rsid w:val="00F57954"/>
    <w:rsid w:val="00F60AED"/>
    <w:rsid w:val="00F62E7D"/>
    <w:rsid w:val="00F64A14"/>
    <w:rsid w:val="00F70A51"/>
    <w:rsid w:val="00F7267E"/>
    <w:rsid w:val="00F75A53"/>
    <w:rsid w:val="00F7716E"/>
    <w:rsid w:val="00F96926"/>
    <w:rsid w:val="00FB0D10"/>
    <w:rsid w:val="00FB4130"/>
    <w:rsid w:val="00FB4C1F"/>
    <w:rsid w:val="00FB51B5"/>
    <w:rsid w:val="00FB7830"/>
    <w:rsid w:val="00FC135F"/>
    <w:rsid w:val="00FE15C5"/>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1B42B9A"/>
  <w15:chartTrackingRefBased/>
  <w15:docId w15:val="{C9930951-13A3-4009-999D-439DCC70B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s-ES"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37375"/>
    <w:pPr>
      <w:spacing w:after="120"/>
      <w:jc w:val="both"/>
    </w:pPr>
    <w:rPr>
      <w:sz w:val="24"/>
    </w:rPr>
  </w:style>
  <w:style w:type="paragraph" w:styleId="berschrift1">
    <w:name w:val="heading 1"/>
    <w:basedOn w:val="Standard"/>
    <w:next w:val="Autor"/>
    <w:link w:val="berschrift1Zchn"/>
    <w:autoRedefine/>
    <w:qFormat/>
    <w:rsid w:val="00CC6F83"/>
    <w:pPr>
      <w:keepNext/>
      <w:keepLines/>
      <w:spacing w:after="480"/>
      <w:jc w:val="left"/>
      <w:outlineLvl w:val="0"/>
    </w:pPr>
    <w:rPr>
      <w:rFonts w:ascii="Arial" w:hAnsi="Arial"/>
      <w:bCs/>
      <w:sz w:val="32"/>
      <w:szCs w:val="16"/>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CC6F83"/>
    <w:rPr>
      <w:rFonts w:ascii="Arial" w:hAnsi="Arial"/>
      <w:bCs/>
      <w:sz w:val="32"/>
      <w:szCs w:val="16"/>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s-ES" w:eastAsia="de-DE" w:bidi="ar-SA"/>
    </w:rPr>
  </w:style>
  <w:style w:type="character" w:customStyle="1" w:styleId="Titel1Zchn">
    <w:name w:val="Titel (1) Zchn"/>
    <w:basedOn w:val="TitelZchn"/>
    <w:link w:val="Titel1"/>
    <w:rsid w:val="00CA31C2"/>
    <w:rPr>
      <w:rFonts w:ascii="Arial" w:hAnsi="Arial"/>
      <w:b/>
      <w:sz w:val="48"/>
      <w:szCs w:val="40"/>
      <w:lang w:val="es-ES"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3612D5"/>
    <w:pPr>
      <w:ind w:left="720"/>
      <w:contextualSpacing/>
    </w:pPr>
  </w:style>
  <w:style w:type="paragraph" w:styleId="Sprechblasentext">
    <w:name w:val="Balloon Text"/>
    <w:basedOn w:val="Standard"/>
    <w:link w:val="SprechblasentextZchn"/>
    <w:semiHidden/>
    <w:unhideWhenUsed/>
    <w:rsid w:val="002067FB"/>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2067FB"/>
    <w:rPr>
      <w:rFonts w:ascii="Segoe UI" w:hAnsi="Segoe UI" w:cs="Segoe UI"/>
      <w:sz w:val="18"/>
      <w:szCs w:val="18"/>
    </w:rPr>
  </w:style>
  <w:style w:type="table" w:styleId="Gitternetztabelle2">
    <w:name w:val="Grid Table 2"/>
    <w:basedOn w:val="NormaleTabelle"/>
    <w:uiPriority w:val="47"/>
    <w:rsid w:val="00ED524D"/>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7122104">
      <w:bodyDiv w:val="1"/>
      <w:marLeft w:val="0"/>
      <w:marRight w:val="0"/>
      <w:marTop w:val="0"/>
      <w:marBottom w:val="0"/>
      <w:divBdr>
        <w:top w:val="none" w:sz="0" w:space="0" w:color="auto"/>
        <w:left w:val="none" w:sz="0" w:space="0" w:color="auto"/>
        <w:bottom w:val="none" w:sz="0" w:space="0" w:color="auto"/>
        <w:right w:val="none" w:sz="0" w:space="0" w:color="auto"/>
      </w:divBdr>
    </w:div>
    <w:div w:id="547646151">
      <w:bodyDiv w:val="1"/>
      <w:marLeft w:val="0"/>
      <w:marRight w:val="0"/>
      <w:marTop w:val="0"/>
      <w:marBottom w:val="0"/>
      <w:divBdr>
        <w:top w:val="none" w:sz="0" w:space="0" w:color="auto"/>
        <w:left w:val="none" w:sz="0" w:space="0" w:color="auto"/>
        <w:bottom w:val="none" w:sz="0" w:space="0" w:color="auto"/>
        <w:right w:val="none" w:sz="0" w:space="0" w:color="auto"/>
      </w:divBdr>
    </w:div>
    <w:div w:id="873807094">
      <w:bodyDiv w:val="1"/>
      <w:marLeft w:val="0"/>
      <w:marRight w:val="0"/>
      <w:marTop w:val="0"/>
      <w:marBottom w:val="0"/>
      <w:divBdr>
        <w:top w:val="none" w:sz="0" w:space="0" w:color="auto"/>
        <w:left w:val="none" w:sz="0" w:space="0" w:color="auto"/>
        <w:bottom w:val="none" w:sz="0" w:space="0" w:color="auto"/>
        <w:right w:val="none" w:sz="0" w:space="0" w:color="auto"/>
      </w:divBdr>
    </w:div>
    <w:div w:id="959265891">
      <w:bodyDiv w:val="1"/>
      <w:marLeft w:val="0"/>
      <w:marRight w:val="0"/>
      <w:marTop w:val="0"/>
      <w:marBottom w:val="0"/>
      <w:divBdr>
        <w:top w:val="none" w:sz="0" w:space="0" w:color="auto"/>
        <w:left w:val="none" w:sz="0" w:space="0" w:color="auto"/>
        <w:bottom w:val="none" w:sz="0" w:space="0" w:color="auto"/>
        <w:right w:val="none" w:sz="0" w:space="0" w:color="auto"/>
      </w:divBdr>
    </w:div>
    <w:div w:id="1041830355">
      <w:bodyDiv w:val="1"/>
      <w:marLeft w:val="0"/>
      <w:marRight w:val="0"/>
      <w:marTop w:val="0"/>
      <w:marBottom w:val="0"/>
      <w:divBdr>
        <w:top w:val="none" w:sz="0" w:space="0" w:color="auto"/>
        <w:left w:val="none" w:sz="0" w:space="0" w:color="auto"/>
        <w:bottom w:val="none" w:sz="0" w:space="0" w:color="auto"/>
        <w:right w:val="none" w:sz="0" w:space="0" w:color="auto"/>
      </w:divBdr>
    </w:div>
    <w:div w:id="1067999772">
      <w:bodyDiv w:val="1"/>
      <w:marLeft w:val="0"/>
      <w:marRight w:val="0"/>
      <w:marTop w:val="0"/>
      <w:marBottom w:val="0"/>
      <w:divBdr>
        <w:top w:val="none" w:sz="0" w:space="0" w:color="auto"/>
        <w:left w:val="none" w:sz="0" w:space="0" w:color="auto"/>
        <w:bottom w:val="none" w:sz="0" w:space="0" w:color="auto"/>
        <w:right w:val="none" w:sz="0" w:space="0" w:color="auto"/>
      </w:divBdr>
    </w:div>
    <w:div w:id="1152990381">
      <w:bodyDiv w:val="1"/>
      <w:marLeft w:val="0"/>
      <w:marRight w:val="0"/>
      <w:marTop w:val="0"/>
      <w:marBottom w:val="0"/>
      <w:divBdr>
        <w:top w:val="none" w:sz="0" w:space="0" w:color="auto"/>
        <w:left w:val="none" w:sz="0" w:space="0" w:color="auto"/>
        <w:bottom w:val="none" w:sz="0" w:space="0" w:color="auto"/>
        <w:right w:val="none" w:sz="0" w:space="0" w:color="auto"/>
      </w:divBdr>
    </w:div>
    <w:div w:id="1232227988">
      <w:bodyDiv w:val="1"/>
      <w:marLeft w:val="0"/>
      <w:marRight w:val="0"/>
      <w:marTop w:val="0"/>
      <w:marBottom w:val="0"/>
      <w:divBdr>
        <w:top w:val="none" w:sz="0" w:space="0" w:color="auto"/>
        <w:left w:val="none" w:sz="0" w:space="0" w:color="auto"/>
        <w:bottom w:val="none" w:sz="0" w:space="0" w:color="auto"/>
        <w:right w:val="none" w:sz="0" w:space="0" w:color="auto"/>
      </w:divBdr>
    </w:div>
    <w:div w:id="1415972858">
      <w:bodyDiv w:val="1"/>
      <w:marLeft w:val="0"/>
      <w:marRight w:val="0"/>
      <w:marTop w:val="0"/>
      <w:marBottom w:val="0"/>
      <w:divBdr>
        <w:top w:val="none" w:sz="0" w:space="0" w:color="auto"/>
        <w:left w:val="none" w:sz="0" w:space="0" w:color="auto"/>
        <w:bottom w:val="none" w:sz="0" w:space="0" w:color="auto"/>
        <w:right w:val="none" w:sz="0" w:space="0" w:color="auto"/>
      </w:divBdr>
    </w:div>
    <w:div w:id="1483350099">
      <w:bodyDiv w:val="1"/>
      <w:marLeft w:val="0"/>
      <w:marRight w:val="0"/>
      <w:marTop w:val="0"/>
      <w:marBottom w:val="0"/>
      <w:divBdr>
        <w:top w:val="none" w:sz="0" w:space="0" w:color="auto"/>
        <w:left w:val="none" w:sz="0" w:space="0" w:color="auto"/>
        <w:bottom w:val="none" w:sz="0" w:space="0" w:color="auto"/>
        <w:right w:val="none" w:sz="0" w:space="0" w:color="auto"/>
      </w:divBdr>
    </w:div>
    <w:div w:id="1552031542">
      <w:bodyDiv w:val="1"/>
      <w:marLeft w:val="0"/>
      <w:marRight w:val="0"/>
      <w:marTop w:val="0"/>
      <w:marBottom w:val="0"/>
      <w:divBdr>
        <w:top w:val="none" w:sz="0" w:space="0" w:color="auto"/>
        <w:left w:val="none" w:sz="0" w:space="0" w:color="auto"/>
        <w:bottom w:val="none" w:sz="0" w:space="0" w:color="auto"/>
        <w:right w:val="none" w:sz="0" w:space="0" w:color="auto"/>
      </w:divBdr>
    </w:div>
    <w:div w:id="1629973970">
      <w:bodyDiv w:val="1"/>
      <w:marLeft w:val="0"/>
      <w:marRight w:val="0"/>
      <w:marTop w:val="0"/>
      <w:marBottom w:val="0"/>
      <w:divBdr>
        <w:top w:val="none" w:sz="0" w:space="0" w:color="auto"/>
        <w:left w:val="none" w:sz="0" w:space="0" w:color="auto"/>
        <w:bottom w:val="none" w:sz="0" w:space="0" w:color="auto"/>
        <w:right w:val="none" w:sz="0" w:space="0" w:color="auto"/>
      </w:divBdr>
    </w:div>
    <w:div w:id="1774664064">
      <w:bodyDiv w:val="1"/>
      <w:marLeft w:val="0"/>
      <w:marRight w:val="0"/>
      <w:marTop w:val="0"/>
      <w:marBottom w:val="0"/>
      <w:divBdr>
        <w:top w:val="none" w:sz="0" w:space="0" w:color="auto"/>
        <w:left w:val="none" w:sz="0" w:space="0" w:color="auto"/>
        <w:bottom w:val="none" w:sz="0" w:space="0" w:color="auto"/>
        <w:right w:val="none" w:sz="0" w:space="0" w:color="auto"/>
      </w:divBdr>
    </w:div>
    <w:div w:id="1915310951">
      <w:bodyDiv w:val="1"/>
      <w:marLeft w:val="0"/>
      <w:marRight w:val="0"/>
      <w:marTop w:val="0"/>
      <w:marBottom w:val="0"/>
      <w:divBdr>
        <w:top w:val="none" w:sz="0" w:space="0" w:color="auto"/>
        <w:left w:val="none" w:sz="0" w:space="0" w:color="auto"/>
        <w:bottom w:val="none" w:sz="0" w:space="0" w:color="auto"/>
        <w:right w:val="none" w:sz="0" w:space="0" w:color="auto"/>
      </w:divBdr>
    </w:div>
    <w:div w:id="1935238741">
      <w:bodyDiv w:val="1"/>
      <w:marLeft w:val="0"/>
      <w:marRight w:val="0"/>
      <w:marTop w:val="0"/>
      <w:marBottom w:val="0"/>
      <w:divBdr>
        <w:top w:val="none" w:sz="0" w:space="0" w:color="auto"/>
        <w:left w:val="none" w:sz="0" w:space="0" w:color="auto"/>
        <w:bottom w:val="none" w:sz="0" w:space="0" w:color="auto"/>
        <w:right w:val="none" w:sz="0" w:space="0" w:color="auto"/>
      </w:divBdr>
    </w:div>
    <w:div w:id="1946770835">
      <w:bodyDiv w:val="1"/>
      <w:marLeft w:val="0"/>
      <w:marRight w:val="0"/>
      <w:marTop w:val="0"/>
      <w:marBottom w:val="0"/>
      <w:divBdr>
        <w:top w:val="none" w:sz="0" w:space="0" w:color="auto"/>
        <w:left w:val="none" w:sz="0" w:space="0" w:color="auto"/>
        <w:bottom w:val="none" w:sz="0" w:space="0" w:color="auto"/>
        <w:right w:val="none" w:sz="0" w:space="0" w:color="auto"/>
      </w:divBdr>
    </w:div>
    <w:div w:id="1953512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H:\Didaktisches%20Material%20fischertechnik\_Vorlagen\Vorlage_Unterrichtsplan_03.07.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4DAFA4-A419-4D76-A189-77F9BE292419}">
  <ds:schemaRefs>
    <ds:schemaRef ds:uri="http://schemas.microsoft.com/sharepoint/v3/contenttype/forms"/>
  </ds:schemaRefs>
</ds:datastoreItem>
</file>

<file path=customXml/itemProps2.xml><?xml version="1.0" encoding="utf-8"?>
<ds:datastoreItem xmlns:ds="http://schemas.openxmlformats.org/officeDocument/2006/customXml" ds:itemID="{96EA386F-BE96-44E8-8FCE-EDB571906F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E4CCEB6-9BE6-400F-974B-3650813437A6}"/>
</file>

<file path=docProps/app.xml><?xml version="1.0" encoding="utf-8"?>
<Properties xmlns="http://schemas.openxmlformats.org/officeDocument/2006/extended-properties" xmlns:vt="http://schemas.openxmlformats.org/officeDocument/2006/docPropsVTypes">
  <Template>Vorlage_Unterrichtsplan_03.07.2020.dotx</Template>
  <TotalTime>0</TotalTime>
  <Pages>2</Pages>
  <Words>380</Words>
  <Characters>2039</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2415</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Versión 1/2011</dc:subject>
  <dc:creator>Dirk Fox</dc:creator>
  <cp:keywords/>
  <dc:description/>
  <cp:lastModifiedBy>Mueck, Adrienne</cp:lastModifiedBy>
  <cp:revision>2</cp:revision>
  <cp:lastPrinted>2021-01-03T21:38:00Z</cp:lastPrinted>
  <dcterms:created xsi:type="dcterms:W3CDTF">2021-02-24T20:01:00Z</dcterms:created>
  <dcterms:modified xsi:type="dcterms:W3CDTF">2021-02-24T20:01:00Z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